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9" w:rsidRDefault="00FD7F19" w:rsidP="00FD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23628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D7F19" w:rsidRDefault="00FD7F19" w:rsidP="00FD7F1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оборудованных учебных кабинетов</w:t>
      </w:r>
    </w:p>
    <w:bookmarkEnd w:id="0"/>
    <w:p w:rsidR="00FD7F19" w:rsidRDefault="00FD7F19" w:rsidP="00FD7F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46B7" w:rsidRPr="00CF65FB" w:rsidRDefault="009C493D" w:rsidP="00A75C8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5FB">
        <w:rPr>
          <w:rFonts w:ascii="Times New Roman" w:hAnsi="Times New Roman" w:cs="Times New Roman"/>
          <w:sz w:val="24"/>
          <w:szCs w:val="24"/>
        </w:rPr>
        <w:t>3</w:t>
      </w:r>
      <w:r w:rsidR="00BD4746" w:rsidRPr="00CF65FB">
        <w:rPr>
          <w:rFonts w:ascii="Times New Roman" w:hAnsi="Times New Roman" w:cs="Times New Roman"/>
          <w:sz w:val="24"/>
          <w:szCs w:val="24"/>
        </w:rPr>
        <w:t>1</w:t>
      </w:r>
      <w:r w:rsidRPr="00CF65FB">
        <w:rPr>
          <w:rFonts w:ascii="Times New Roman" w:hAnsi="Times New Roman" w:cs="Times New Roman"/>
          <w:sz w:val="24"/>
          <w:szCs w:val="24"/>
        </w:rPr>
        <w:t>.02.05</w:t>
      </w:r>
      <w:r w:rsidR="00824A8D" w:rsidRPr="00CF65FB">
        <w:rPr>
          <w:rFonts w:ascii="Times New Roman" w:hAnsi="Times New Roman" w:cs="Times New Roman"/>
          <w:sz w:val="24"/>
          <w:szCs w:val="24"/>
        </w:rPr>
        <w:t xml:space="preserve"> </w:t>
      </w:r>
      <w:r w:rsidRPr="00CF65FB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  <w:bookmarkStart w:id="1" w:name="_GoBack"/>
      <w:bookmarkEnd w:id="1"/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22"/>
        <w:gridCol w:w="2784"/>
        <w:gridCol w:w="3663"/>
        <w:gridCol w:w="3866"/>
        <w:gridCol w:w="3651"/>
      </w:tblGrid>
      <w:tr w:rsidR="00030530" w:rsidRPr="00CF65FB" w:rsidTr="00030530">
        <w:tc>
          <w:tcPr>
            <w:tcW w:w="822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84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663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30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030530" w:rsidRPr="00CF65FB" w:rsidTr="00030530">
        <w:trPr>
          <w:trHeight w:val="150"/>
        </w:trPr>
        <w:tc>
          <w:tcPr>
            <w:tcW w:w="822" w:type="dxa"/>
            <w:vMerge w:val="restart"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СГЦ.01 История России</w:t>
            </w:r>
          </w:p>
        </w:tc>
        <w:tc>
          <w:tcPr>
            <w:tcW w:w="3663" w:type="dxa"/>
          </w:tcPr>
          <w:p w:rsidR="00030530" w:rsidRPr="00CF65FB" w:rsidRDefault="00030530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истории России</w:t>
            </w:r>
          </w:p>
          <w:p w:rsidR="00030530" w:rsidRPr="00CF65FB" w:rsidRDefault="00030530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федерация,305029, г. Курск, ул. Карла Маркса, д.69 цокольный этаж,  каб.  №43</w:t>
            </w:r>
          </w:p>
        </w:tc>
        <w:tc>
          <w:tcPr>
            <w:tcW w:w="3866" w:type="dxa"/>
            <w:vAlign w:val="center"/>
          </w:tcPr>
          <w:p w:rsidR="00030530" w:rsidRPr="00CF65FB" w:rsidRDefault="00030530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030530" w:rsidRPr="00CF65FB" w:rsidRDefault="00030530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030530" w:rsidRPr="00CF65FB" w:rsidRDefault="00030530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50"/>
        </w:trPr>
        <w:tc>
          <w:tcPr>
            <w:tcW w:w="822" w:type="dxa"/>
            <w:vMerge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2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808"/>
        </w:trPr>
        <w:tc>
          <w:tcPr>
            <w:tcW w:w="822" w:type="dxa"/>
            <w:vMerge w:val="restart"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СГЦ.02 Иностранный язык в профессиональной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63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иностранного языка в профессиональной деятельности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Курск, ул. Карла Маркса, д.69 цокольный этаж,  каб. №46</w:t>
            </w: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мебель для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рабочих мест обучающихся (столы – 10, стулья – 20), мебель для рационального размещения и хранения средств обучения (секционный комбинированный  шкаф), доска аудиторная.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50"/>
        </w:trPr>
        <w:tc>
          <w:tcPr>
            <w:tcW w:w="822" w:type="dxa"/>
            <w:vMerge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Курск, ул. Карла Маркса, д.69, 1 этаж, каб. №4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18), мебель для рационального размещения и хранения средств обучения (встроенные шкафы – 2), доска аудиторная.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724"/>
        </w:trPr>
        <w:tc>
          <w:tcPr>
            <w:tcW w:w="822" w:type="dxa"/>
            <w:vMerge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Курск, ул. Карла Маркса, д. 69, 1 этаж, каб. №1</w:t>
            </w: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22), мебель для рационального размещения и хранения средств обучения (секционные комбинированные шкафы – 6), доска аудиторная.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 w:val="restart"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СГЦ.03 Безопасность жизнедеятельности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безопасности жизнедеятельности  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65б,  цокольный этаж,  каб. № 49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доска аудиторная.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общевойсковой защитный комплект (ОЗК),  общевойсковой противогаз или противогаз ГП-7, гопкалитовый патрон ДП-5в, изолирующий противогаз в комплекте с регенеративным патроном,  респиратор Р-2, индивидуальный противохимический пакет (ИПП-8, 9, 10, 11),ватно-марлевая повязка, противопыльная тканевая маска, медицинская сумка в комплекте, носилки санитарные, аптечка индивидуальная (АИ-2), бинты марлевые, бинты эластичные, жгуты кровоостанавливающие резиновые, индивидуальные перевязочные пакеты, косынки перевязочные, ножницы для перевязочного материала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прямые, шприц-тюбики одноразового пользования (без наполнителя), шинный материал (металлические, Дитерихса), огнетушители порошковые (учебные), огнетушители пенные (учебные), огнетушители углекислотные (учебные), устройство отработки прицеливания, учебные автоматы АК-74, винтовки пневматические, комплект плакатов по гражданской обороне, комплект плакатов по основам военной службы, войсковой прибор химической разведки (ВПХР), рентгенметр ДП-5В, робот-тренажер (ГОША 2 или МАКСИМ-2).</w:t>
            </w:r>
            <w:proofErr w:type="gramEnd"/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СГЦ.04. Физическая культура</w:t>
            </w:r>
          </w:p>
        </w:tc>
        <w:tc>
          <w:tcPr>
            <w:tcW w:w="3663" w:type="dxa"/>
          </w:tcPr>
          <w:p w:rsidR="00030530" w:rsidRPr="00CF65FB" w:rsidRDefault="00030530" w:rsidP="004F09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зал, лыжная база</w:t>
            </w:r>
          </w:p>
          <w:p w:rsidR="00030530" w:rsidRPr="00CF65FB" w:rsidRDefault="00030530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69, 1 этаж</w:t>
            </w:r>
          </w:p>
        </w:tc>
        <w:tc>
          <w:tcPr>
            <w:tcW w:w="3866" w:type="dxa"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 (барьеры, баскетбольные мячи, баскетбольные кольца, баскетбольные щиты, волейбольные мячи, волейбольная сетка, антенна; гимнастические скамейки, гимнастические маты, гимнастические палки, медболы, оборудование для фитнеса, обручи, ракетки для бадминтона, воланы; ракетки для н/тенниса, мячи; секундомеры, скакалки, спортивные ручные тренажеры, спортивные ножные тренажеры, столы для н/тенниса, фишки, гранаты и ядра для метания, компасы, карты;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лыжи, нагрудные номера, рулетка металлическая, секундомеры, стартовые флажки, футбольные мячи).</w:t>
            </w:r>
          </w:p>
          <w:p w:rsidR="00030530" w:rsidRPr="00CF65FB" w:rsidRDefault="00030530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оборудование: лыжи, лыжные палки, спортивные ботинки.</w:t>
            </w:r>
          </w:p>
        </w:tc>
        <w:tc>
          <w:tcPr>
            <w:tcW w:w="3651" w:type="dxa"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 элементами полосы препятствий</w:t>
            </w:r>
          </w:p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530" w:rsidRPr="00CF65FB" w:rsidRDefault="00030530" w:rsidP="00D1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69</w:t>
            </w:r>
          </w:p>
        </w:tc>
        <w:tc>
          <w:tcPr>
            <w:tcW w:w="3866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Спортивный инвентарь (волейбольные сетки, стойки волейбольные, карманы для антенн, мини-футбольные ворота с сеткой, мобильные разборные баскетбольные стойки).</w:t>
            </w:r>
          </w:p>
        </w:tc>
        <w:tc>
          <w:tcPr>
            <w:tcW w:w="3651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Стрелковый тир </w:t>
            </w:r>
          </w:p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65б, 1 этаж</w:t>
            </w:r>
          </w:p>
        </w:tc>
        <w:tc>
          <w:tcPr>
            <w:tcW w:w="3866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Спортивное оборудование: винтовка, мишени.</w:t>
            </w:r>
          </w:p>
        </w:tc>
        <w:tc>
          <w:tcPr>
            <w:tcW w:w="3651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СГЦ.05. Основы бережливого производства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бережливого производства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федерация,305029, г. Курск, ул. Карла Маркса, д.69 цокольный этаж,  каб.  №43</w:t>
            </w:r>
          </w:p>
        </w:tc>
        <w:tc>
          <w:tcPr>
            <w:tcW w:w="3866" w:type="dxa"/>
            <w:vAlign w:val="center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СГЦ.06. Основы финансовой грамотности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финансовой грамотности</w:t>
            </w:r>
          </w:p>
          <w:p w:rsidR="00030530" w:rsidRPr="00CF65FB" w:rsidRDefault="00030530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д.69, цокольный этаж, каб.  №43</w:t>
            </w:r>
          </w:p>
          <w:p w:rsidR="00030530" w:rsidRPr="00CF65FB" w:rsidRDefault="00030530" w:rsidP="002D7044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2D70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ОПЦ.01. Анатомия и физиология человека с курсом биомеханики зубочелюстной системы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анатомии и физиологии человека с курсом биомеханики зубочелюстной системы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69,  1 этаж, каб. № 3.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2), доска аудиторная, шкаф для хранения учебно-наглядных пособий, приборов, стеллаж для муляжей. 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фонендоскоп, тонометр, микроскоп с набором объективов, скелет туловища с тазом, набор костей черепа, набор костей туловища, набор костей верхней конечности, набор костей нижней конечности, оси вращения суставов: плечевого, грудино-ключичного, локтевого, коленного, кости на планшете, мышцы (муляж – планшеты), нервная система: головной мозг (модель), головной мозг (планшет), головной мозг (сагитт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азрез), спинной мозг (планшет), солнечное сплетение (муляж), железы (на планшете),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сердце (модель), фронтальный разрез сердца (на планшете), схема кровообращения человека (на планшете), легкие (модель), бронхиальное дерево (сегментарные бронхи), органы дыхания и средостения (муляж), органы средостения (муляж), гортань (модель), органы пищеварения (на планшете): пищеварительная система, кишечник, ворсинки тонкой кишки, печень (муляж), пищеварительная система (модель), почки (на планшете), мочевыделительная система (на планшете), мужской таз (сагиттальный разрез), женский таз (сагиттальный разрез), торс человека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модель), сагиттальный разрез головы и шеи, топография кисти рук, топография головы и шеи, лимфатическая система (на планшете),  кожа (на планшете), глаз (увеличенная модель), ухо (модель), полукружные каналы с улиткой.</w:t>
            </w:r>
            <w:proofErr w:type="gramEnd"/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ОПЦ.02.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микробиологии и инфекционная безопасность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микробиологии и инфекционной безопасности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69,  4 этаж, каб. №36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2), доска аудиторная.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 (ноутбук с выходом в сеть Интернет с лицензионным программным обеспечением), электронные образовательные ресурсы.</w:t>
            </w:r>
          </w:p>
          <w:p w:rsidR="00030530" w:rsidRPr="00CF65FB" w:rsidRDefault="00030530" w:rsidP="003C21F5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наборы микропрепаратов для микроскопического исследования, аппаратура и приборы  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для петель, шпатель металлический, фильтровальная бумага и т.д., водяная баня, бактериологические препараты (антибиотики, гемолитическая сыворотка, диагностикумы и т.д.</w:t>
            </w:r>
            <w:proofErr w:type="gramEnd"/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ОПЦ.03.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Стоматологические заболевания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стоматологических заболеваний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1 этаж, каб. №135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pStyle w:val="a9"/>
              <w:ind w:left="34"/>
              <w:jc w:val="both"/>
            </w:pPr>
            <w:r w:rsidRPr="00CF65FB">
              <w:t>Оборудования учебного кабинета: мебель для организации рабочего места преподавателя, мебель для организации рабочих мест обучающихся (столы – 14, стулья – 28).</w:t>
            </w:r>
          </w:p>
          <w:p w:rsidR="00030530" w:rsidRPr="00CF65FB" w:rsidRDefault="00030530" w:rsidP="003C21F5">
            <w:pPr>
              <w:pStyle w:val="a9"/>
              <w:ind w:left="34"/>
              <w:jc w:val="both"/>
            </w:pPr>
            <w:r w:rsidRPr="00CF65FB"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обеспечением, проектор, экран).</w:t>
            </w:r>
          </w:p>
          <w:p w:rsidR="00030530" w:rsidRPr="00CF65FB" w:rsidRDefault="00030530" w:rsidP="003C21F5">
            <w:pPr>
              <w:pStyle w:val="a9"/>
              <w:ind w:left="34"/>
              <w:jc w:val="both"/>
            </w:pPr>
            <w:r w:rsidRPr="00CF65FB">
              <w:t>Специализированное оборудование: стоматологический лоток – 10, стоматологическое зеркало – 10, стоматологический зонд – 10, стоматологический пинцет – 10, наборы плакатов и таблиц.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pStyle w:val="a9"/>
              <w:ind w:left="34"/>
              <w:jc w:val="both"/>
            </w:pPr>
            <w:proofErr w:type="gramStart"/>
            <w:r w:rsidRPr="00030530"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ОПЦ.04.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 экологией человека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гигиены с экологией человека 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65б,  цокольный этаж, каб. №48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термометры, гигрометры, анемометры, кататермометры, барометры – анероиды,   емкости для отбора проб воды.</w:t>
            </w:r>
            <w:proofErr w:type="gramEnd"/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 w:val="restart"/>
          </w:tcPr>
          <w:p w:rsidR="00030530" w:rsidRPr="00CF65FB" w:rsidRDefault="00030530" w:rsidP="00962A6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ОПЦ.05.  Психология общения</w:t>
            </w:r>
          </w:p>
        </w:tc>
        <w:tc>
          <w:tcPr>
            <w:tcW w:w="3663" w:type="dxa"/>
          </w:tcPr>
          <w:p w:rsidR="00030530" w:rsidRPr="00CF65FB" w:rsidRDefault="00030530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психологии общения</w:t>
            </w:r>
          </w:p>
          <w:p w:rsidR="00030530" w:rsidRPr="00CF65FB" w:rsidRDefault="00030530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DB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65б, 2 этаж, каб. № 200</w:t>
            </w:r>
          </w:p>
        </w:tc>
        <w:tc>
          <w:tcPr>
            <w:tcW w:w="3866" w:type="dxa"/>
          </w:tcPr>
          <w:p w:rsidR="00030530" w:rsidRPr="00CF65FB" w:rsidRDefault="00030530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 раскладной – 1, стулья – 22), доска аудиторная, доска флипчарт.</w:t>
            </w:r>
          </w:p>
          <w:p w:rsidR="00030530" w:rsidRPr="00CF65FB" w:rsidRDefault="00030530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 w:val="restart"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F00F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ОПЦ.06.  Основы латинского языка 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основ латинского языка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69,  3 этаж, каб.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6), доска аудиторная.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 w:val="restart"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F00F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ОПЦ.07.  Информационные технологии в профессиональной деятельности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информационных технологий в профессиональной деятельности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Курск, ул. Карла Маркса, д. 69, 2 этаж, каб. №19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17, стулья – 34),мебель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Информационное обеспечение обучения: иллюстративный материал (фотоальбомы, плакаты, репродукции и т. д), мультимедийные презентации, видеофильмы, раздаточный дидактический материал к занятиям.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Технические средства обучения:  компьютеры с выходом в сеть Интернет с лицензионным программным обеспечением – 17, комплект мультимедийного оборудования (интерактивная доска, проектор), электронные образовательные ресурсы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Кабинет информатики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д.69, 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этаж, 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Оборудование учебного кабинета: мебель для организации рабочего места преподавателя; мебель для организации рабочих мест обучающихся (столы – 13, стулья – 26), мебель для рационального размещения и хранения средств обучения (секционные комбинированные шкафы – 5), доска аудиторная. 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(компьютеры с выходом в сеть Интернет с лицензионным программным обеспечением – 13, проектор),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276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МДК.01.01.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трудовой деятельности и ведение медицинской документации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цокольный этаж, каб.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10, стулья – 25), плакаты, стенд.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наковальня, ложка для легкоплавкого сплава, крампонные щипцы, кювета, бюгель, кювета для дублирования, аппарат Самсон, термоформователь, гипсовый нож, колба, шпатель для замешивания.</w:t>
            </w:r>
            <w:proofErr w:type="gramEnd"/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МДК.01.02.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663" w:type="dxa"/>
          </w:tcPr>
          <w:p w:rsidR="00030530" w:rsidRPr="00CF65FB" w:rsidRDefault="00030530" w:rsidP="00344540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оказания экстренной медицинской помощи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 г. Курск, ул. Карла Маркса, д. 65б, 2 этаж, каб. №17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30, стулья – 60), мебель для рационального размещения и хранения средств обучения (секционные комбинированные шкафы – 7), доска аудиторная.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экран, проектор),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01.01. Организация трудовой деятельности и ведение медицинской документации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цокольный этаж, каб. № 10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вытяжной шкаф, муфельная печь, установка для плавления и литья нержавеющий стали, кобальто-хромовых сплавов, пескоструйный аппарат, электрополировка, шлифовальная машина, шкаф для хранения материалов, вибростолик, весы, пластмасса, гипс медицинский, воск базисный, воск липкий.</w:t>
            </w:r>
            <w:proofErr w:type="gramEnd"/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, несъёмных и бюгель-ных протезов</w:t>
            </w:r>
          </w:p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МДК.02.01 Изготовление съёмных пластиночных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цокольный этаж, каб.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кювета зуботехническая, бюгель, наконечники для бормашины – 4, наковальня зуботехническая, шпатель  зуботехнический – 5, нож для гипса – 5, очки защитные, окклюдаторы – 5, артикуляторы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вибростолик,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, несъёмных и бюгель-ных протезов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566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МДК.02.02 Изготовление несъёмных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2 этаж, каб.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гипсовочных работ -1, стол рабочий для зуботехнических работ – 4, бормашина – 4, пескоструйный аппарат, пресс для выдавливания пластмассы, стенд, полимеризатор, пылевсасывающее устройство, стоматологические прилавки – 2, шлифмотор, аквадестилятор, триммер, параллелометр,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вибростолик, воскотопка – 4, электрошпатель с воскотопкой - 2, печь электровакуумная.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, несъёмных и бюгель-ных протезов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C54C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МДК.02.03 Изготовление бюгельных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цокольный этаж, каб.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кювета зуботехническая, бюгель, наконечники для бормашины – 4, наковальня зуботехническая, шпатель  зуботехнический – 5, нож для гипса – 5, очки защитные, окклюдаторы – 5, артикуляторы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вибростолик,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2 этаж, каб.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гипсовочных работ -1, стол рабочий для зуботехнических работ – 4, бормашина – 4, пескоструйный аппарат, пресс для выдавливания пластмассы, стенд, полимеризатор, пылевсасывающее устройство, стоматологические прилавки – 2, шлифмотор, аквадестилятор, триммер, параллелометр,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вибростолик, воскотопка – 4, электрошпатель с воскотопкой - 2, печь электровакуумная.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02.01 Учебная практика Изготовление съёмных пластиночных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цокольный этаж, каб.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бюгель, наконечники для бормашины – 4, наковальня зуботехническая, шпатель  зуботехнический – 5, нож для гипса – 5, очки защитные, окклюдаторы – 5, артикуляторы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вибростолик, пластмасса, гипс медицинский, воск базисный, воск 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02.02 Учебная практика Изготовление несъёмных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цокольный этаж, каб.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бюгель, наконечники для бормашины – 4, наковальня зуботехническая, шпатель  зуботехнический – 5, нож для гипса – 5, очки защитные, окклюдаторы – 5, артикуляторы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вибростолик, пластмасса, гипс медицинский, воск базисный, воск 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02.03 Учебная практика Изготовление бюгельных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цокольный этаж, каб.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бюгель, наконечники для бормашины – 4, наковальня зуботехническая, шпатель  зуботехнический – 5, нож для гипса – 5, очки защитные, окклюдаторы – 5, артикуляторы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вибростолик, пластмасса, гипс медицинский, воск базисный, воск 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02.01 Производственная практика Изготовление съёмных пластиночных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02.02 Производственная практика Изготовление несъёмных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02.03 Производственная практика Изготовление бюгельных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ПМ.03 Изготовление ортодонтических аппаратов челюстно-лицевых протезов</w:t>
            </w:r>
          </w:p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МДК.03.01. Изготовление ортодонтических аппаратов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цокольный этаж, каб.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зуботехнические бормашины, модели челюстей, ортодонтические аппараты, учебные таблицы, плакаты, инструменты (крампонные щипцы, шпатель для замешивания гипса, зуботехнический шпатель – 5, пинцет, скальпель – 5, резиновые колбы, емкости для замешивания пластмассы и др.), материалы (боры, воск базисный, воск липкий, гипс медицинский, диски вулканитовые, дискодержатели, дуги Энгля, кламмеры, круги шлифовальные и эластичные для бормашин, лак разделительный, пластмасса самотвердеющая, паста полировочная, порошок полировочный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проволока ортодонтическая, фильцы, фрезы, щетки полировочные ворсяные, гильзы стальные, сплав легкоплавкий,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цемент и др.).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2 этаж, каб.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стол для гипсовочных работ -1, стол рабочий для зуботехнических работ – 4, бормашина – 4, пескоструйный аппарат, пресс для выдавливания пластмассы, стенд, полимеризатор, пылевсасывающее устройство, стоматологические прилавки – 2, шлифмотор, аквадестилятор, триммер, параллелометр,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вибростолик, воскотопка – 4, электрошпатель с воскотопкой - 2, печь электровакуумная.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ПМ.03 Изготовление ортодонтических аппаратов челюстно-лицевых протезов</w:t>
            </w:r>
          </w:p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090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МДК.03.02. Изготовление челюстно-лицевых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цокольный этаж, каб.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инструментария и расходных материалов: зуботехнические столы, портативные бормашины, шлифмоторы, пневмополимеризатор, электрошпатели, окклюдаторы,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пластмасса, гипс медицинский, воск базисный, воск липкий. 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2 этаж, каб.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стол для гипсовочных работ -1, стол рабочий для зуботехнических работ – 4, бормашина – 4, пескоструйный аппарат, пресс для выдавливания пластмассы, стенд, полимеризатор, пылевсасывающее устройство, стоматологические прилавки – 2, шлифмотор, аквадестилятор, триммер, параллелометр,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вибростолик, воскотопка – 4, электрошпатель с воскотопкой - 2, печь электровакуумная.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03 Учебная практика  Изготовление ортодонтических аппаратов челюстно-лицевых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305004, г. Курск, ул. Ямская, д. 6, цокольный этаж, каб.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инструментария и расходных материалов: зуботехнические столы, портативные бормашины, шлифмоторы, пневмополимеризатор, электрошпатели, окклюдаторы,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пластмасса, гипс медицинский, воск базисный, воск липкий.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3 этаж, каб.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693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ПДП.00</w:t>
            </w:r>
          </w:p>
          <w:p w:rsidR="00030530" w:rsidRPr="00CF65FB" w:rsidRDefault="00030530" w:rsidP="004D2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по профилю специальности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2D70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6228CA" w:rsidTr="00030530">
        <w:trPr>
          <w:trHeight w:val="1693"/>
        </w:trPr>
        <w:tc>
          <w:tcPr>
            <w:tcW w:w="822" w:type="dxa"/>
            <w:vMerge/>
          </w:tcPr>
          <w:p w:rsidR="00030530" w:rsidRPr="006228CA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E7334A" w:rsidRDefault="00030530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6D550E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6D550E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6D550E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866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6D550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6D550E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651" w:type="dxa"/>
          </w:tcPr>
          <w:p w:rsidR="00030530" w:rsidRPr="006D550E" w:rsidRDefault="003C21F5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21F5">
              <w:rPr>
                <w:rFonts w:ascii="Times New Roman" w:hAnsi="Times New Roman" w:cs="Times New Roman"/>
                <w:color w:val="000000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6228CA" w:rsidTr="00030530">
        <w:trPr>
          <w:trHeight w:val="1693"/>
        </w:trPr>
        <w:tc>
          <w:tcPr>
            <w:tcW w:w="822" w:type="dxa"/>
            <w:vMerge/>
          </w:tcPr>
          <w:p w:rsidR="00030530" w:rsidRPr="006228CA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E7334A" w:rsidRDefault="00030530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6D550E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6D550E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6D550E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6D550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6D550E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651" w:type="dxa"/>
          </w:tcPr>
          <w:p w:rsidR="00030530" w:rsidRPr="006D550E" w:rsidRDefault="003C21F5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21F5">
              <w:rPr>
                <w:rFonts w:ascii="Times New Roman" w:hAnsi="Times New Roman" w:cs="Times New Roman"/>
                <w:color w:val="000000"/>
              </w:rPr>
              <w:t>Приспособлены для обучения инвалидов и лиц с ОВЗ</w:t>
            </w:r>
            <w:proofErr w:type="gramEnd"/>
          </w:p>
        </w:tc>
      </w:tr>
    </w:tbl>
    <w:p w:rsidR="001843E2" w:rsidRDefault="001843E2" w:rsidP="00F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9129D2" w:rsidRPr="009129D2" w:rsidTr="003C21F5">
        <w:trPr>
          <w:trHeight w:val="435"/>
        </w:trPr>
        <w:tc>
          <w:tcPr>
            <w:tcW w:w="14884" w:type="dxa"/>
            <w:gridSpan w:val="3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Перечень договоров ЭБС (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период, соответствующий сроку получения образования по ООП</w:t>
            </w: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9129D2" w:rsidRPr="009129D2" w:rsidTr="003C21F5">
        <w:trPr>
          <w:trHeight w:val="435"/>
        </w:trPr>
        <w:tc>
          <w:tcPr>
            <w:tcW w:w="255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действия документа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2020/2021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Лицензионный договор № 124-П/394 от 22.06.2021 г.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01.07.2021 г. по 31.12. 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742 от 16.11.2020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264-П/811 от 16.12.2020 г. неисключительные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01.01.2021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30.06.2021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503 от 31.08.2020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01.10.2020 г. по 30.09.2021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на оказания услуги № 581 от 22.09.2020 г. по предоставлению доступа к базе данных «Электронная библиотечная система «Букап»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11.10.2020г. по 10.10. 2021г.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246 СЛ/10-2020/731 от 10.11.2020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234 от 12.03.2020 г. доступ к электронной базе данных «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Clinical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lastRenderedPageBreak/>
              <w:t>Collection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09.04.2020 г. по 08.04.2021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Лицензионный договор № 6705/20/330 от 12.05.2020 г. на предоставление доступа к электронно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-библиотечной системе «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01.06.2020 г. по 31.05.2021 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2021/2022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385 от 12.07.2022 г. услуги  по предоставлению доступа к онлайн-версиям периодических изданий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посредствам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12.07.2022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по 31.12.2022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299СЛ/06-2021/411 от 25.06.2021 г. по предоставлению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01.07.2021 г. по 30.06.2022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на оказания услуги № 552 от 23.08.2021 г. по предоставлению доступа к базе данных «Электронная библиотечная система «Букап» (Довузовская подготовка)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01.09.2021 г. по 31.08. 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614 от 08.09.2021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России.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01.10.2021 г. по 30.09.2022 г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на оказания услуги № 696 от 07.10.2021 г. по предоставлению доступа к базе данных «Электронная библиотечная система «Букап»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11.10.2021 г. по 10.10. 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809 от 24.11.2021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335СЛ/10-2021/824 от 29.11.2021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906 от 23.12.2021 г. услуги по предоставлению доступа к онлайн-версиям периодических изданий, посредством УБД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01.01.2022 по 30.06. 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136 от 22.03.2021 г. доступ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Clinical Collection»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09.04.2021 г. по 08.04.2022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8002/21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/298 от 13.05.2021 г. на предоставление доступа к электронно-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библиотечной системе «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01.06.2021 г. по 31.05.2022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2022/2023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Договор № 443 от 16.08.2022 г.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 по предоставлению доступа к электронным формам учебников (ЭФУ) для МФК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 2022 г.  по 31.08.2023г.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590 от 28.09.2022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01.10.2022 г. по 30.09.2023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на оказания услуги 628 от 10.10.2022 г.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 предоставлению доступа к базе данных «Электронная библиотечная система «</w:t>
            </w:r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Букап»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для обеспечения образовательного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11.10.2022г. по 10.10.2023г.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791 от 23.11.2022 г. по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предоставлению 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01.12.2022 г. по 30.11.2023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Clinical Collection»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909 от 26.12.2022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подключению и обеспечению  доступа к электронным базам данных периодических изданий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01.01.2023г. по 30.06.2023г.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Clinical Collection»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2023/2024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25/ИА/2023/316 от 14 .04.2023 по подключению и обеспечению  доступа к электронной библиотеке  Grebennikon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17.04.2023 г. по  16.04.2024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№10267/23П/314 от 13. 04.2023г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доступа на предоставление доступа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Цифровой образовательный ресурс «IPR SMART»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01.06.2023 г. по  31.05.2024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867КС/05-2023/480 от 30.05.2023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01.07.2023 г.  по 30.06.2024г.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746 от 01.09.2023 г. услуги по предоставлению право доступа к комплекту Электронная библиотечная система "Консультант студента" комплект « ФПУ. 10-11 кл. (Изд-во «Просвещение»)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01.09.2023 г.  по 31.08.2024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854 от 02.10.2023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01.10.2023 г. по 30.09.2024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882 от 09.10.2023 г.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по предоставлению доступа к базе данных «Электронная библиотечная система «</w:t>
            </w:r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Букап»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11.10.2023 г. по 10.10.2024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938 КС /09-2023/1102 от 30.11. 2023г.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по предоставлению 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01.12.2023 г. по 31.12.2024 г.</w:t>
            </w:r>
          </w:p>
        </w:tc>
      </w:tr>
    </w:tbl>
    <w:p w:rsidR="00830D1C" w:rsidRDefault="00830D1C" w:rsidP="00830D1C"/>
    <w:tbl>
      <w:tblPr>
        <w:tblpPr w:leftFromText="180" w:rightFromText="180" w:vertAnchor="text" w:horzAnchor="margin" w:tblpY="17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633"/>
      </w:tblGrid>
      <w:tr w:rsidR="00830D1C" w:rsidRPr="00890A3F" w:rsidTr="002D7044">
        <w:trPr>
          <w:trHeight w:val="270"/>
        </w:trPr>
        <w:tc>
          <w:tcPr>
            <w:tcW w:w="8217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30D1C" w:rsidRPr="00890A3F" w:rsidTr="002D7044">
        <w:trPr>
          <w:trHeight w:val="879"/>
        </w:trPr>
        <w:tc>
          <w:tcPr>
            <w:tcW w:w="8217" w:type="dxa"/>
            <w:shd w:val="clear" w:color="auto" w:fill="auto"/>
          </w:tcPr>
          <w:p w:rsidR="00830D1C" w:rsidRPr="00784418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418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  <w:shd w:val="clear" w:color="auto" w:fill="auto"/>
          </w:tcPr>
          <w:p w:rsidR="00830D1C" w:rsidRPr="00C84F44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аключение о соответствии объекта защиты обязательным требованиям пожарной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безопасности №42 от 08.04.2015, выдано Управлением надзорной деятельности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профилактической работы Главного управления МЧС России по Курской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 действия: бессрочно.</w:t>
            </w:r>
          </w:p>
        </w:tc>
      </w:tr>
    </w:tbl>
    <w:p w:rsidR="00830D1C" w:rsidRPr="00890A3F" w:rsidRDefault="00830D1C" w:rsidP="0083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1C" w:rsidRDefault="00830D1C"/>
    <w:sectPr w:rsidR="00830D1C" w:rsidSect="009129D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F5" w:rsidRDefault="003C21F5" w:rsidP="00F0660C">
      <w:pPr>
        <w:spacing w:after="0" w:line="240" w:lineRule="auto"/>
      </w:pPr>
      <w:r>
        <w:separator/>
      </w:r>
    </w:p>
  </w:endnote>
  <w:endnote w:type="continuationSeparator" w:id="0">
    <w:p w:rsidR="003C21F5" w:rsidRDefault="003C21F5" w:rsidP="00F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F5" w:rsidRDefault="003C21F5" w:rsidP="00F0660C">
      <w:pPr>
        <w:spacing w:after="0" w:line="240" w:lineRule="auto"/>
      </w:pPr>
      <w:r>
        <w:separator/>
      </w:r>
    </w:p>
  </w:footnote>
  <w:footnote w:type="continuationSeparator" w:id="0">
    <w:p w:rsidR="003C21F5" w:rsidRDefault="003C21F5" w:rsidP="00F0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006"/>
    <w:multiLevelType w:val="hybridMultilevel"/>
    <w:tmpl w:val="D5C47762"/>
    <w:lvl w:ilvl="0" w:tplc="4ACE2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2709E"/>
    <w:multiLevelType w:val="hybridMultilevel"/>
    <w:tmpl w:val="4A2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3A97"/>
    <w:multiLevelType w:val="hybridMultilevel"/>
    <w:tmpl w:val="DC8A1308"/>
    <w:lvl w:ilvl="0" w:tplc="CEC85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182565"/>
    <w:multiLevelType w:val="hybridMultilevel"/>
    <w:tmpl w:val="8E2CD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03B0"/>
    <w:multiLevelType w:val="multilevel"/>
    <w:tmpl w:val="4AE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8209A"/>
    <w:multiLevelType w:val="hybridMultilevel"/>
    <w:tmpl w:val="EFC63D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8AE2809"/>
    <w:multiLevelType w:val="hybridMultilevel"/>
    <w:tmpl w:val="C81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7971B7"/>
    <w:multiLevelType w:val="hybridMultilevel"/>
    <w:tmpl w:val="3ECEB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EF7CF7"/>
    <w:multiLevelType w:val="hybridMultilevel"/>
    <w:tmpl w:val="5226D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0C"/>
    <w:rsid w:val="0002289B"/>
    <w:rsid w:val="00023623"/>
    <w:rsid w:val="000241AE"/>
    <w:rsid w:val="00030530"/>
    <w:rsid w:val="00050C6D"/>
    <w:rsid w:val="0008310A"/>
    <w:rsid w:val="0009099C"/>
    <w:rsid w:val="000923E1"/>
    <w:rsid w:val="000A5972"/>
    <w:rsid w:val="000B46C1"/>
    <w:rsid w:val="00113E02"/>
    <w:rsid w:val="00117CEB"/>
    <w:rsid w:val="001245AC"/>
    <w:rsid w:val="00134DC3"/>
    <w:rsid w:val="00137D7D"/>
    <w:rsid w:val="00147346"/>
    <w:rsid w:val="001843E2"/>
    <w:rsid w:val="00194107"/>
    <w:rsid w:val="001A5736"/>
    <w:rsid w:val="001B4883"/>
    <w:rsid w:val="001C605E"/>
    <w:rsid w:val="001E1978"/>
    <w:rsid w:val="001E39A4"/>
    <w:rsid w:val="001E54CE"/>
    <w:rsid w:val="001F10C7"/>
    <w:rsid w:val="001F6639"/>
    <w:rsid w:val="002100DB"/>
    <w:rsid w:val="00223054"/>
    <w:rsid w:val="0022672E"/>
    <w:rsid w:val="002C1384"/>
    <w:rsid w:val="002D7044"/>
    <w:rsid w:val="002D73E9"/>
    <w:rsid w:val="00304110"/>
    <w:rsid w:val="003156C4"/>
    <w:rsid w:val="0031619B"/>
    <w:rsid w:val="00320349"/>
    <w:rsid w:val="00344540"/>
    <w:rsid w:val="00355784"/>
    <w:rsid w:val="00360C37"/>
    <w:rsid w:val="00362170"/>
    <w:rsid w:val="00362316"/>
    <w:rsid w:val="0036754E"/>
    <w:rsid w:val="0039029E"/>
    <w:rsid w:val="003941B4"/>
    <w:rsid w:val="003A594A"/>
    <w:rsid w:val="003C21F5"/>
    <w:rsid w:val="003C223F"/>
    <w:rsid w:val="003E057D"/>
    <w:rsid w:val="003F4276"/>
    <w:rsid w:val="00400553"/>
    <w:rsid w:val="00411D27"/>
    <w:rsid w:val="00424B0C"/>
    <w:rsid w:val="004403E8"/>
    <w:rsid w:val="00466652"/>
    <w:rsid w:val="00491721"/>
    <w:rsid w:val="004A40B8"/>
    <w:rsid w:val="004B0D07"/>
    <w:rsid w:val="004D224D"/>
    <w:rsid w:val="004D23C3"/>
    <w:rsid w:val="004F099D"/>
    <w:rsid w:val="004F637F"/>
    <w:rsid w:val="00566ABB"/>
    <w:rsid w:val="005B4EC0"/>
    <w:rsid w:val="005B6EB8"/>
    <w:rsid w:val="005B6F62"/>
    <w:rsid w:val="005D4F1F"/>
    <w:rsid w:val="005F2F25"/>
    <w:rsid w:val="005F3D64"/>
    <w:rsid w:val="00605B5B"/>
    <w:rsid w:val="006172E0"/>
    <w:rsid w:val="006228CA"/>
    <w:rsid w:val="0062498C"/>
    <w:rsid w:val="00631C3A"/>
    <w:rsid w:val="00663304"/>
    <w:rsid w:val="00681213"/>
    <w:rsid w:val="006839FC"/>
    <w:rsid w:val="006F4C70"/>
    <w:rsid w:val="00725D9B"/>
    <w:rsid w:val="00776986"/>
    <w:rsid w:val="00793277"/>
    <w:rsid w:val="007A31EA"/>
    <w:rsid w:val="007B21A2"/>
    <w:rsid w:val="007C689C"/>
    <w:rsid w:val="007D7AB8"/>
    <w:rsid w:val="007E6A3D"/>
    <w:rsid w:val="008035B5"/>
    <w:rsid w:val="00813111"/>
    <w:rsid w:val="00815E9C"/>
    <w:rsid w:val="00824A8D"/>
    <w:rsid w:val="00830D1C"/>
    <w:rsid w:val="008364C8"/>
    <w:rsid w:val="00845DE8"/>
    <w:rsid w:val="0085091E"/>
    <w:rsid w:val="00892652"/>
    <w:rsid w:val="008A2BAB"/>
    <w:rsid w:val="008C3487"/>
    <w:rsid w:val="008C66ED"/>
    <w:rsid w:val="008D2776"/>
    <w:rsid w:val="008D5127"/>
    <w:rsid w:val="00903B5F"/>
    <w:rsid w:val="00905E97"/>
    <w:rsid w:val="009129D2"/>
    <w:rsid w:val="00941627"/>
    <w:rsid w:val="00942AC1"/>
    <w:rsid w:val="00962A6A"/>
    <w:rsid w:val="0098645A"/>
    <w:rsid w:val="009A1AE4"/>
    <w:rsid w:val="009C493D"/>
    <w:rsid w:val="00A1101B"/>
    <w:rsid w:val="00A152F3"/>
    <w:rsid w:val="00A17973"/>
    <w:rsid w:val="00A42DAB"/>
    <w:rsid w:val="00A64753"/>
    <w:rsid w:val="00A75C85"/>
    <w:rsid w:val="00A77152"/>
    <w:rsid w:val="00A80230"/>
    <w:rsid w:val="00A82ADD"/>
    <w:rsid w:val="00A87B0A"/>
    <w:rsid w:val="00AC30BD"/>
    <w:rsid w:val="00AD299E"/>
    <w:rsid w:val="00AE22FB"/>
    <w:rsid w:val="00B55BB1"/>
    <w:rsid w:val="00B8079A"/>
    <w:rsid w:val="00B85D09"/>
    <w:rsid w:val="00BA78FF"/>
    <w:rsid w:val="00BC2DBE"/>
    <w:rsid w:val="00BC33A8"/>
    <w:rsid w:val="00BC4638"/>
    <w:rsid w:val="00BC47FE"/>
    <w:rsid w:val="00BC5287"/>
    <w:rsid w:val="00BD4746"/>
    <w:rsid w:val="00BF41B8"/>
    <w:rsid w:val="00BF7077"/>
    <w:rsid w:val="00C1318A"/>
    <w:rsid w:val="00C47A9F"/>
    <w:rsid w:val="00C54C04"/>
    <w:rsid w:val="00C63501"/>
    <w:rsid w:val="00C85D89"/>
    <w:rsid w:val="00CA0350"/>
    <w:rsid w:val="00CF0CF7"/>
    <w:rsid w:val="00CF65FB"/>
    <w:rsid w:val="00D1746E"/>
    <w:rsid w:val="00D36CB3"/>
    <w:rsid w:val="00D50F90"/>
    <w:rsid w:val="00D64DDE"/>
    <w:rsid w:val="00D65940"/>
    <w:rsid w:val="00D86B53"/>
    <w:rsid w:val="00D955F5"/>
    <w:rsid w:val="00DB081F"/>
    <w:rsid w:val="00DB56DE"/>
    <w:rsid w:val="00DD2B9E"/>
    <w:rsid w:val="00DE396F"/>
    <w:rsid w:val="00E12BFB"/>
    <w:rsid w:val="00E17AC6"/>
    <w:rsid w:val="00E21D09"/>
    <w:rsid w:val="00E3536B"/>
    <w:rsid w:val="00E4021F"/>
    <w:rsid w:val="00E446B7"/>
    <w:rsid w:val="00E53825"/>
    <w:rsid w:val="00E559BD"/>
    <w:rsid w:val="00E60185"/>
    <w:rsid w:val="00E67E9B"/>
    <w:rsid w:val="00E7334A"/>
    <w:rsid w:val="00E8501D"/>
    <w:rsid w:val="00EA44D8"/>
    <w:rsid w:val="00EC265C"/>
    <w:rsid w:val="00EC3693"/>
    <w:rsid w:val="00EE1970"/>
    <w:rsid w:val="00EF3D5A"/>
    <w:rsid w:val="00F00FEA"/>
    <w:rsid w:val="00F028D2"/>
    <w:rsid w:val="00F0660C"/>
    <w:rsid w:val="00F21463"/>
    <w:rsid w:val="00F55473"/>
    <w:rsid w:val="00F567A0"/>
    <w:rsid w:val="00F75635"/>
    <w:rsid w:val="00FC1B25"/>
    <w:rsid w:val="00FD7F19"/>
    <w:rsid w:val="00FE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FD7F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FD7F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72232-2508-4538-BE03-DECD999E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8038</Words>
  <Characters>45822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Nemo 1</cp:lastModifiedBy>
  <cp:revision>4</cp:revision>
  <dcterms:created xsi:type="dcterms:W3CDTF">2024-10-07T22:06:00Z</dcterms:created>
  <dcterms:modified xsi:type="dcterms:W3CDTF">2024-10-07T22:06:00Z</dcterms:modified>
</cp:coreProperties>
</file>