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F" w:rsidRPr="00E3679F" w:rsidRDefault="00C1475F" w:rsidP="00C14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23628"/>
      <w:r w:rsidRPr="00E3679F">
        <w:rPr>
          <w:rFonts w:ascii="Times New Roman" w:hAnsi="Times New Roman" w:cs="Times New Roman"/>
          <w:sz w:val="24"/>
          <w:szCs w:val="24"/>
        </w:rPr>
        <w:t>Сведения</w:t>
      </w:r>
    </w:p>
    <w:p w:rsidR="00C1475F" w:rsidRDefault="00C1475F" w:rsidP="00C1475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3679F">
        <w:rPr>
          <w:rFonts w:ascii="Times New Roman" w:hAnsi="Times New Roman" w:cs="Times New Roman"/>
          <w:sz w:val="24"/>
          <w:szCs w:val="24"/>
        </w:rPr>
        <w:t xml:space="preserve">о наличии </w:t>
      </w:r>
      <w:r>
        <w:rPr>
          <w:rFonts w:ascii="Times New Roman" w:hAnsi="Times New Roman" w:cs="Times New Roman"/>
          <w:sz w:val="24"/>
          <w:szCs w:val="24"/>
        </w:rPr>
        <w:t>объектов для проведения практических занятий</w:t>
      </w:r>
    </w:p>
    <w:bookmarkEnd w:id="0"/>
    <w:p w:rsidR="00C1475F" w:rsidRDefault="00C1475F" w:rsidP="00C14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1CF3" w:rsidRPr="00CF65FB" w:rsidRDefault="009C493D" w:rsidP="00F51C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5FB">
        <w:rPr>
          <w:rFonts w:ascii="Times New Roman" w:hAnsi="Times New Roman" w:cs="Times New Roman"/>
          <w:sz w:val="24"/>
          <w:szCs w:val="24"/>
        </w:rPr>
        <w:t>3</w:t>
      </w:r>
      <w:r w:rsidR="00F51CF3">
        <w:rPr>
          <w:rFonts w:ascii="Times New Roman" w:hAnsi="Times New Roman" w:cs="Times New Roman"/>
          <w:sz w:val="24"/>
          <w:szCs w:val="24"/>
        </w:rPr>
        <w:t>4.02.01</w:t>
      </w:r>
      <w:r w:rsidR="00824A8D" w:rsidRPr="00CF65FB">
        <w:rPr>
          <w:rFonts w:ascii="Times New Roman" w:hAnsi="Times New Roman" w:cs="Times New Roman"/>
          <w:sz w:val="24"/>
          <w:szCs w:val="24"/>
        </w:rPr>
        <w:t xml:space="preserve"> </w:t>
      </w:r>
      <w:r w:rsidRPr="00CF65FB">
        <w:rPr>
          <w:rFonts w:ascii="Times New Roman" w:hAnsi="Times New Roman" w:cs="Times New Roman"/>
          <w:sz w:val="24"/>
          <w:szCs w:val="24"/>
        </w:rPr>
        <w:t>С</w:t>
      </w:r>
      <w:r w:rsidR="00F51CF3">
        <w:rPr>
          <w:rFonts w:ascii="Times New Roman" w:hAnsi="Times New Roman" w:cs="Times New Roman"/>
          <w:sz w:val="24"/>
          <w:szCs w:val="24"/>
        </w:rPr>
        <w:t>естринское дело</w:t>
      </w:r>
      <w:bookmarkStart w:id="1" w:name="_GoBack"/>
      <w:bookmarkEnd w:id="1"/>
      <w:r w:rsidR="00F51C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46"/>
        <w:gridCol w:w="2835"/>
        <w:gridCol w:w="3798"/>
        <w:gridCol w:w="3544"/>
        <w:gridCol w:w="3544"/>
      </w:tblGrid>
      <w:tr w:rsidR="009C7678" w:rsidRPr="00CF65FB" w:rsidTr="009C7678">
        <w:tc>
          <w:tcPr>
            <w:tcW w:w="846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544" w:type="dxa"/>
          </w:tcPr>
          <w:p w:rsidR="009C7678" w:rsidRPr="00CF65FB" w:rsidRDefault="009C7678" w:rsidP="0084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30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 w:val="restart"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СГЦ.01 История России</w:t>
            </w:r>
          </w:p>
        </w:tc>
        <w:tc>
          <w:tcPr>
            <w:tcW w:w="3798" w:type="dxa"/>
          </w:tcPr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истории России</w:t>
            </w:r>
          </w:p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544" w:type="dxa"/>
            <w:vAlign w:val="center"/>
          </w:tcPr>
          <w:p w:rsidR="009C7678" w:rsidRPr="00CF65FB" w:rsidRDefault="009C7678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9C7678" w:rsidRPr="00CF65FB" w:rsidRDefault="009C7678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9C7678" w:rsidP="00846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808"/>
        </w:trPr>
        <w:tc>
          <w:tcPr>
            <w:tcW w:w="846" w:type="dxa"/>
            <w:vMerge w:val="restart"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СГЦ.02 Иностранный язык в профессиональной деятельности</w:t>
            </w: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в профессиональной деятельности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№46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20), мебель для рационального размещения и хранения средств обучения (секционный комбинированный  шкаф),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идеофильмы, учебные пособия, сборники тестовых 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заданий.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724"/>
        </w:trPr>
        <w:tc>
          <w:tcPr>
            <w:tcW w:w="846" w:type="dxa"/>
            <w:vMerge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(секционные комбинированные шкафы – 6),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 w:val="restart"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СГЦ.03 Безопасность жизнедеятельности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безопасности жизнедеятельности  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доска аудиторная.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общевойсковой защитный комплект (ОЗК),  общевойсковой противогаз или противогаз ГП-7,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гопкалитовый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патрон ДП-5в, изолирующий противогаз в комплекте с регенеративным патроном,  респиратор Р-2, индивидуальный противохимический пакет (ИПП-8, 9, 10, 11),ватно-марлевая повязка,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противопыльная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 индивидуальные перевязочные пакеты, косынки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перевязочные, ножницы для перевязочного материала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прямые, шприц-тюбики одноразового пользования (без наполнителя), шинный материал (металлические,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разведки (ВПХР), рентгенметр ДП-5В, робот-тренажер (ГОША 2 или МАКСИМ-2).</w:t>
            </w:r>
            <w:proofErr w:type="gramEnd"/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СГЦ.04. Физическая культура</w:t>
            </w:r>
          </w:p>
        </w:tc>
        <w:tc>
          <w:tcPr>
            <w:tcW w:w="3798" w:type="dxa"/>
          </w:tcPr>
          <w:p w:rsidR="009C7678" w:rsidRPr="00CF65FB" w:rsidRDefault="009C7678" w:rsidP="004F09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зал, лыжная база</w:t>
            </w: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1 этаж</w:t>
            </w:r>
          </w:p>
        </w:tc>
        <w:tc>
          <w:tcPr>
            <w:tcW w:w="3544" w:type="dxa"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 (барьеры, баскетбольные мячи, баскетбольные кольца, баскетбольные щиты, волейбольные мячи, волейбольная сетка, антенна; гимнастические скамейки, гимнастические маты, гимнастические палки,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медболы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компасы, карты; лыжи, нагрудные номера, рулетка металлическая, секундомеры, стартовые флажки, футбольные мячи).</w:t>
            </w: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лыжи, лыжные палки, спортивные ботинки.</w:t>
            </w:r>
          </w:p>
        </w:tc>
        <w:tc>
          <w:tcPr>
            <w:tcW w:w="3544" w:type="dxa"/>
          </w:tcPr>
          <w:p w:rsidR="009C7678" w:rsidRPr="00CF65FB" w:rsidRDefault="00C135A1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678" w:rsidRPr="00CF65FB" w:rsidRDefault="009C7678" w:rsidP="00D1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544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544" w:type="dxa"/>
          </w:tcPr>
          <w:p w:rsidR="009C7678" w:rsidRPr="00CF65FB" w:rsidRDefault="00C135A1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544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мишени.</w:t>
            </w:r>
          </w:p>
        </w:tc>
        <w:tc>
          <w:tcPr>
            <w:tcW w:w="3544" w:type="dxa"/>
          </w:tcPr>
          <w:p w:rsidR="009C7678" w:rsidRPr="00CF65FB" w:rsidRDefault="00C135A1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СГЦ.05. Основы бережливого производства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бережливого производства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544" w:type="dxa"/>
            <w:vAlign w:val="center"/>
          </w:tcPr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финансовой грамотности</w:t>
            </w:r>
          </w:p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д.69,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  <w:p w:rsidR="009C7678" w:rsidRPr="00CF65FB" w:rsidRDefault="009C7678" w:rsidP="002D704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– 32), доска аудиторная. 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2D70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ОПЦ.01. Анатомия и физиология человека с курсом биомеханики зубочелюстной системы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человека с курсом биомеханики зубочелюстной системы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3.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аудиторная, шкаф для хранения учебно-наглядных пособий, приборов, стеллаж для муляжей. 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фонендоскоп, тонометр, микроскоп с набором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объективов, скелет туловища с тазом, набор костей черепа, набор костей туловища, набор костей верхней конечности, набор костей нижней конечности, оси вращения суставов: плечевого, грудино-ключичного, локтевого, коленного, кости на планшете, мышцы (муляж – планшеты), нервная система: головной мозг (модель), головной мозг (планшет), головной мозг (сагитт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азрез), спинной мозг (планшет), солнечное сплетение (муляж), железы (на планшете),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сердце (модель), фронтальный разрез сердца (на планшете), схема кровообращения человека (на планшете), легкие (модель), бронхиальное дерево (сегментарные бронхи), органы дыхания и средостения (муляж), органы средостения (муляж), гортань (модель), органы пищеварения (на планшете): пищеварительная система, кишечник, ворсинки тонкой кишки, печень (муляж), пищеварительная система (модель), почки (на планшете), мочевыделительная система (на планшете), мужской таз (сагиттальный разрез), женский таз (сагиттальный разрез), торс человека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модель), сагиттальный разрез головы и шеи, топография кисти рук,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топография головы и шеи, лимфатическая система (на планшете),  кожа (на планшете), глаз (увеличенная модель), ухо (модель), полукружные каналы с улиткой.</w:t>
            </w:r>
            <w:proofErr w:type="gramEnd"/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ОПЦ.02.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микробиологии и инфекционной безопасности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4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9C7678" w:rsidRPr="00CF65FB" w:rsidRDefault="009C7678" w:rsidP="006401FF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диагностикумы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ОПЦ.03.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стоматологических заболеваний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№135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Оборудования учебного кабинета: мебель для организации рабочего места преподавателя, мебель для организации рабочих мест обучающихся (столы – 14, стулья – 28).</w:t>
            </w:r>
          </w:p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обеспечением, проектор, экран).</w:t>
            </w:r>
          </w:p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Специализированное оборудование: стоматологический лоток – 10, стоматологическое зеркало – 10, стоматологический зонд – 10, стоматологический пинцет – 10, наборы плакатов и таблиц.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pStyle w:val="a9"/>
              <w:ind w:left="34"/>
              <w:jc w:val="both"/>
            </w:pPr>
            <w:proofErr w:type="gramStart"/>
            <w:r w:rsidRPr="00030530"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ОПЦ.04.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экологией человека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гигиены с экологией человека 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№48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термометры, гигрометры, анемометры, кататермометры, барометры – анероиды,   емкости для отбора проб воды.</w:t>
            </w:r>
            <w:proofErr w:type="gramEnd"/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962A6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ОПЦ.05.  Психология общения</w:t>
            </w:r>
          </w:p>
        </w:tc>
        <w:tc>
          <w:tcPr>
            <w:tcW w:w="3798" w:type="dxa"/>
          </w:tcPr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психологии общения</w:t>
            </w:r>
          </w:p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DB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2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200</w:t>
            </w:r>
          </w:p>
        </w:tc>
        <w:tc>
          <w:tcPr>
            <w:tcW w:w="3544" w:type="dxa"/>
          </w:tcPr>
          <w:p w:rsidR="009C7678" w:rsidRPr="00CF65FB" w:rsidRDefault="009C7678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рабочих мест обучающихся (стол раскладной – 1, стулья – 22), доска аудиторная, доска </w:t>
            </w:r>
            <w:proofErr w:type="spellStart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7678" w:rsidRPr="00CF65FB" w:rsidRDefault="009C7678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F00F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ОПЦ.06.  Основы латинского языка 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латинского языка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6), доска аудиторная.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(компьютер с выходом в сеть Интернет с лицензионным программным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обеспечением, телевизор),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F0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ОПЦ.07.  Информационные технологии в профессиональной деятельности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17, стулья – 34),мебель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Информационное обеспечение обучения: иллюстративный материал (фотоальбомы, плакаты, репродукции и т. д), мультимедийные презентации, видеофильмы, раздаточный дидактический материал к занятиям.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Технические средства обучения:  компьютеры с выходом в сеть Интернет с лицензионным программным обеспечением – 17, комплект мультимедийного оборудования (интерактивная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доска, проектор), электронные образовательные ресурсы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Кабинет информатики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Оборудование учебного кабинета: мебель для организации рабочего места преподавателя; мебель для организации рабочих мест обучающихся (столы – 13, стулья – 26), мебель для рационального размещения и хранения средств обучения (секционные комбинированные шкафы – 5), доска аудиторная. 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(компьютеры с выходом в сеть Интернет с лицензионным программным обеспечением – 13, проектор),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276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МДК.01.01.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трудовой деятельности и ведение медицинской документации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10, стулья – 25), плакаты, стенд.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наковальня,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ложка для легкоплавкого сплава,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кювета,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кювета для дублирования,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термоформователь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гипсовый нож, колба, шпатель для замешивания.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МДК.01.02.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798" w:type="dxa"/>
          </w:tcPr>
          <w:p w:rsidR="009C7678" w:rsidRPr="00CF65FB" w:rsidRDefault="009C7678" w:rsidP="00344540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оказания экстренной медицинской помощи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 г. Курск, ул. Карла Маркса, д. 65б,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30, стулья – 60),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экран, проектор),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Оборудование: персональные компьютеры – 13, 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01.01. Организация трудовой деятельности и ведение медицинской документации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вытяжной шкаф, муфельная печь, установка для плавления и литья нержавеющий стали,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кобальто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-хромовых сплавов, пескоструйный аппарат,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электрополировка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шлифовальная машина, шкаф для хранения материалов,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весы, пластмасса, гипс медицинский, воск базисный, воск липкий.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МДК.02.01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  <w:r w:rsidR="00C13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.02 Изготовление съёмных пластиночных, несъёмных и </w:t>
            </w:r>
            <w:proofErr w:type="spellStart"/>
            <w:r w:rsidR="00C135A1">
              <w:rPr>
                <w:rFonts w:ascii="Times New Roman" w:hAnsi="Times New Roman" w:cs="Times New Roman"/>
                <w:bCs/>
                <w:sz w:val="24"/>
                <w:szCs w:val="24"/>
              </w:rPr>
              <w:t>бюгель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566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МДК.02.02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C54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МДК.02.03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02.01 Учебная практика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02.02 Учебная практика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02.03 Учебная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02.01 Производственная практика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>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02.02 Производственная практика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02.03 Производственная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МДК.03.01.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зуботехнические бормашины, модели челюстей,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 учебные таблицы, плакаты, инструменты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шпатель для замешивания гипса, зуботехнический шпатель – 5, пинцет, скальпель – 5, резиновые колбы, емкости для замешивания пластмассы и др.), материалы (боры, воск базисный, воск липкий, гипс медицинский, диски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вулканитовые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дискодержатели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дуги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Энгля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кламмеры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круги шлифовальные и эластичные для бормашин, лак разделительный, пластмасса самотвердеющая, паста полировочная, порошок полировочный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проволока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фильцы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фрезы, щетки полировочные ворсяные, гильзы стальные, сплав легкоплавкий,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цемент и др.).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090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МДК.03.02. Изготовление челюстно-лицевых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03 Учебная практика 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пластмасса, гипс медицинский, воск базисный, воск липкий.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693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ПДП.00</w:t>
            </w:r>
          </w:p>
          <w:p w:rsidR="009C7678" w:rsidRPr="00CF65FB" w:rsidRDefault="009C7678" w:rsidP="004D2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>Адрес: 305004, г. Курск, ул. Садовая, 27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>договора о практической подготовке обучающихся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2D70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6228CA" w:rsidTr="009C7678">
        <w:trPr>
          <w:trHeight w:val="1693"/>
        </w:trPr>
        <w:tc>
          <w:tcPr>
            <w:tcW w:w="846" w:type="dxa"/>
            <w:vMerge/>
          </w:tcPr>
          <w:p w:rsidR="009C7678" w:rsidRPr="006228CA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E7334A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6D550E">
              <w:rPr>
                <w:rFonts w:ascii="Times New Roman" w:hAnsi="Times New Roman" w:cs="Times New Roman"/>
              </w:rPr>
              <w:t>Адрес: 305040, г. Курск, ул. Запольная, 43а</w:t>
            </w:r>
          </w:p>
        </w:tc>
        <w:tc>
          <w:tcPr>
            <w:tcW w:w="3544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обучающихся №22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544" w:type="dxa"/>
          </w:tcPr>
          <w:p w:rsidR="009C7678" w:rsidRPr="006D550E" w:rsidRDefault="00312242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6228CA" w:rsidTr="009C7678">
        <w:trPr>
          <w:trHeight w:val="1693"/>
        </w:trPr>
        <w:tc>
          <w:tcPr>
            <w:tcW w:w="846" w:type="dxa"/>
            <w:vMerge/>
          </w:tcPr>
          <w:p w:rsidR="009C7678" w:rsidRPr="006228CA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E7334A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6D550E">
              <w:rPr>
                <w:rFonts w:ascii="Times New Roman" w:hAnsi="Times New Roman" w:cs="Times New Roman"/>
              </w:rPr>
              <w:t>Адрес: 305022, г. Курск, ул. Союзная, д. 30</w:t>
            </w:r>
          </w:p>
        </w:tc>
        <w:tc>
          <w:tcPr>
            <w:tcW w:w="3544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обучающихся №13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544" w:type="dxa"/>
          </w:tcPr>
          <w:p w:rsidR="009C7678" w:rsidRPr="006D550E" w:rsidRDefault="00312242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</w:tbl>
    <w:p w:rsidR="001843E2" w:rsidRDefault="001843E2" w:rsidP="00F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9129D2" w:rsidRPr="009129D2" w:rsidTr="00654565">
        <w:trPr>
          <w:trHeight w:val="435"/>
        </w:trPr>
        <w:tc>
          <w:tcPr>
            <w:tcW w:w="14884" w:type="dxa"/>
            <w:gridSpan w:val="3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Перечень договоров ЭБС (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период, соответствующий сроку получения образования по ООП</w:t>
            </w: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129D2" w:rsidRPr="009129D2" w:rsidTr="00654565">
        <w:trPr>
          <w:trHeight w:val="435"/>
        </w:trPr>
        <w:tc>
          <w:tcPr>
            <w:tcW w:w="255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действия документа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2020/2021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Лицензионный договор № 124-П/394 от 22.06.2021 г.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01.07.2021 г. по 31.12. 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742 от 16.11.2020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264-П/811 от 16.12.2020 г. неисключительные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01.01.2021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30.06.2021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503 от 31.08.2020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01.10.2020 г. по 30.09.2021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на оказания услуги № 581 от 22.09.2020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11.10.2020г. по 10.10. 2021г.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246 СЛ/10-2020/731 от 10.11.2020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234 от 12.03.2020 г. доступ к электронной базе данных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Clinical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09.04.2020 г. по 08.04.2021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Лицензионный договор № 6705/20/330 от 12.05.2020 г. на предоставление доступа к электронно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-библиотечной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01.06.2020 г. по 31.05.2021 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2021/2022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385 от 12.07.2022 г. услуги  по предоставлению доступа к онлайн-версиям периодических изданий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посредствам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12.07.2022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по 31.12.2022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299СЛ/06-2021/411 от 25.06.2021 г. по предоставлению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01.07.2021 г. по 30.06.2022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552 от 23.08.2021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(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Довузовская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подготовка)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01.09.2021 г. по 31.08.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614 от 08.09.2021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России.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01.10.2021 г. по 30.09.2022 г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696 от 07.10.2021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11.10.2021 г. по 10.10.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809 от 24.11.2021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335СЛ/10-2021/824 от 29.11.2021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906 от 23.12.2021 г. услуги по предоставлению доступа к онлайн-версиям периодических изданий, посредством УБД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01.01.2022 по 30.06.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136 от 22.03.2021 г. доступ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09.04.2021 г. по 08.04.2022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8002/21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/298 от 13.05.2021 г. на предоставление доступа к электронно-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01.06.2021 г. по 31.05.2022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2022/2023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Договор № 443 от 16.08.2022 г.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 по предоставлению доступа к электронным формам учебников (ЭФУ) для МФК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 2022 г.  по 31.08.2023г.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590 от 28.09.2022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01.10.2022 г. по 30.09.2023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628 от 10.10.2022 г.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11.10.2022г. по 10.10.2023г.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791 от 23.11.2022 г. по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01.12.2022 г. по 30.11.2023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909 от 26.12.2022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подключению и обеспечению  доступа к электронным базам данных периодических изданий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01.01.2023г. по 30.06.2023г.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25/ИА/2023/316 от 14 .04.2023 по подключению и обеспечению  доступа к электронной библиотеке 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Grebennikon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17.04.2023 г. по  16.04.2024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№10267/23П/314 от 13. 04.2023г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доступа на предоставление доступа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Цифровой образовательный ресурс «IPR SMART»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01.06.2023 г. по  31.05.2024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867КС/05-2023/480 от 30.05.2023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01.07.2023 г.  по 30.06.2024г.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746 от 01.09.2023 г. услуги по предоставлению право доступа к комплекту Электронная библиотечная система "Консультант студента" комплект « ФПУ. 10-11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(Изд-во «Просвещение»)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01.09.2023 г.  по 31.08.2024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854 от 02.10.2023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01.10.2023 г. по 30.09.2024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882 от 09.10.2023 г.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11.10.2023 г. по 10.10.2024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938 КС /09-2023/1102 от 30.11. 2023г.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по предоставлению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 01.12.2023 г. по 31.12.2024 г.</w:t>
            </w:r>
          </w:p>
        </w:tc>
      </w:tr>
    </w:tbl>
    <w:p w:rsidR="00830D1C" w:rsidRDefault="00830D1C" w:rsidP="00830D1C"/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633"/>
      </w:tblGrid>
      <w:tr w:rsidR="00830D1C" w:rsidRPr="00890A3F" w:rsidTr="002D7044">
        <w:trPr>
          <w:trHeight w:val="270"/>
        </w:trPr>
        <w:tc>
          <w:tcPr>
            <w:tcW w:w="8217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30D1C" w:rsidRPr="00890A3F" w:rsidTr="002D7044">
        <w:trPr>
          <w:trHeight w:val="879"/>
        </w:trPr>
        <w:tc>
          <w:tcPr>
            <w:tcW w:w="8217" w:type="dxa"/>
            <w:shd w:val="clear" w:color="auto" w:fill="auto"/>
          </w:tcPr>
          <w:p w:rsidR="00830D1C" w:rsidRPr="00784418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418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shd w:val="clear" w:color="auto" w:fill="auto"/>
          </w:tcPr>
          <w:p w:rsidR="00830D1C" w:rsidRPr="00C84F44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аключение о соответствии объекта защиты обязательным требованиям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безопасности №42 от 08.04.2015, выдано Управлением надзорной деятельности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профилактической работы Главного управления МЧС России по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действия: бессрочно.</w:t>
            </w:r>
          </w:p>
        </w:tc>
      </w:tr>
    </w:tbl>
    <w:p w:rsidR="00830D1C" w:rsidRPr="00890A3F" w:rsidRDefault="00830D1C" w:rsidP="0083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1C" w:rsidRDefault="00830D1C"/>
    <w:sectPr w:rsidR="00830D1C" w:rsidSect="009129D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21" w:rsidRDefault="00491721" w:rsidP="00F0660C">
      <w:pPr>
        <w:spacing w:after="0" w:line="240" w:lineRule="auto"/>
      </w:pPr>
      <w:r>
        <w:separator/>
      </w:r>
    </w:p>
  </w:endnote>
  <w:endnote w:type="continuationSeparator" w:id="0">
    <w:p w:rsidR="00491721" w:rsidRDefault="00491721" w:rsidP="00F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21" w:rsidRDefault="00491721" w:rsidP="00F0660C">
      <w:pPr>
        <w:spacing w:after="0" w:line="240" w:lineRule="auto"/>
      </w:pPr>
      <w:r>
        <w:separator/>
      </w:r>
    </w:p>
  </w:footnote>
  <w:footnote w:type="continuationSeparator" w:id="0">
    <w:p w:rsidR="00491721" w:rsidRDefault="00491721" w:rsidP="00F0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06"/>
    <w:multiLevelType w:val="hybridMultilevel"/>
    <w:tmpl w:val="D5C47762"/>
    <w:lvl w:ilvl="0" w:tplc="4ACE2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2709E"/>
    <w:multiLevelType w:val="hybridMultilevel"/>
    <w:tmpl w:val="4A2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A97"/>
    <w:multiLevelType w:val="hybridMultilevel"/>
    <w:tmpl w:val="DC8A1308"/>
    <w:lvl w:ilvl="0" w:tplc="CEC8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182565"/>
    <w:multiLevelType w:val="hybridMultilevel"/>
    <w:tmpl w:val="8E2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3B0"/>
    <w:multiLevelType w:val="multilevel"/>
    <w:tmpl w:val="4AE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8209A"/>
    <w:multiLevelType w:val="hybridMultilevel"/>
    <w:tmpl w:val="EFC63D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AE2809"/>
    <w:multiLevelType w:val="hybridMultilevel"/>
    <w:tmpl w:val="C81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7971B7"/>
    <w:multiLevelType w:val="hybridMultilevel"/>
    <w:tmpl w:val="3ECEB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EF7CF7"/>
    <w:multiLevelType w:val="hybridMultilevel"/>
    <w:tmpl w:val="5226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C"/>
    <w:rsid w:val="0002289B"/>
    <w:rsid w:val="00023623"/>
    <w:rsid w:val="000241AE"/>
    <w:rsid w:val="00050C6D"/>
    <w:rsid w:val="0008310A"/>
    <w:rsid w:val="0009099C"/>
    <w:rsid w:val="000923E1"/>
    <w:rsid w:val="000A5972"/>
    <w:rsid w:val="000B46C1"/>
    <w:rsid w:val="00113E02"/>
    <w:rsid w:val="00117CEB"/>
    <w:rsid w:val="001245AC"/>
    <w:rsid w:val="00134DC3"/>
    <w:rsid w:val="00137D7D"/>
    <w:rsid w:val="00147346"/>
    <w:rsid w:val="001843E2"/>
    <w:rsid w:val="00194107"/>
    <w:rsid w:val="001A5736"/>
    <w:rsid w:val="001B4883"/>
    <w:rsid w:val="001C605E"/>
    <w:rsid w:val="001E1978"/>
    <w:rsid w:val="001E39A4"/>
    <w:rsid w:val="001E54CE"/>
    <w:rsid w:val="001F10C7"/>
    <w:rsid w:val="001F6639"/>
    <w:rsid w:val="002100DB"/>
    <w:rsid w:val="00223054"/>
    <w:rsid w:val="0022672E"/>
    <w:rsid w:val="002C1384"/>
    <w:rsid w:val="002D7044"/>
    <w:rsid w:val="002D73E9"/>
    <w:rsid w:val="00304110"/>
    <w:rsid w:val="00312242"/>
    <w:rsid w:val="003156C4"/>
    <w:rsid w:val="0031619B"/>
    <w:rsid w:val="00320349"/>
    <w:rsid w:val="00344540"/>
    <w:rsid w:val="00355784"/>
    <w:rsid w:val="00360C37"/>
    <w:rsid w:val="00362316"/>
    <w:rsid w:val="0036754E"/>
    <w:rsid w:val="0039029E"/>
    <w:rsid w:val="003941B4"/>
    <w:rsid w:val="003A594A"/>
    <w:rsid w:val="003C223F"/>
    <w:rsid w:val="003E057D"/>
    <w:rsid w:val="003F4276"/>
    <w:rsid w:val="00400553"/>
    <w:rsid w:val="00411D27"/>
    <w:rsid w:val="00424B0C"/>
    <w:rsid w:val="004403E8"/>
    <w:rsid w:val="00466652"/>
    <w:rsid w:val="00491721"/>
    <w:rsid w:val="004A40B8"/>
    <w:rsid w:val="004B0D07"/>
    <w:rsid w:val="004D224D"/>
    <w:rsid w:val="004D23C3"/>
    <w:rsid w:val="004F099D"/>
    <w:rsid w:val="004F637F"/>
    <w:rsid w:val="00566ABB"/>
    <w:rsid w:val="005B4EC0"/>
    <w:rsid w:val="005B6EB8"/>
    <w:rsid w:val="005B6F62"/>
    <w:rsid w:val="005D4F1F"/>
    <w:rsid w:val="005F2F25"/>
    <w:rsid w:val="005F3D64"/>
    <w:rsid w:val="00605B5B"/>
    <w:rsid w:val="006172E0"/>
    <w:rsid w:val="006228CA"/>
    <w:rsid w:val="0062498C"/>
    <w:rsid w:val="00631C3A"/>
    <w:rsid w:val="00663304"/>
    <w:rsid w:val="00681213"/>
    <w:rsid w:val="006839FC"/>
    <w:rsid w:val="006F4C70"/>
    <w:rsid w:val="00725D9B"/>
    <w:rsid w:val="00776986"/>
    <w:rsid w:val="00793277"/>
    <w:rsid w:val="007A31EA"/>
    <w:rsid w:val="007B21A2"/>
    <w:rsid w:val="007C689C"/>
    <w:rsid w:val="007D7AB8"/>
    <w:rsid w:val="007E6A3D"/>
    <w:rsid w:val="008035B5"/>
    <w:rsid w:val="00813111"/>
    <w:rsid w:val="00815E9C"/>
    <w:rsid w:val="00824A8D"/>
    <w:rsid w:val="00830D1C"/>
    <w:rsid w:val="008364C8"/>
    <w:rsid w:val="00845DE8"/>
    <w:rsid w:val="0085091E"/>
    <w:rsid w:val="00892652"/>
    <w:rsid w:val="008A2BAB"/>
    <w:rsid w:val="008C3487"/>
    <w:rsid w:val="008C66ED"/>
    <w:rsid w:val="008D2776"/>
    <w:rsid w:val="008D5127"/>
    <w:rsid w:val="00903B5F"/>
    <w:rsid w:val="00905E97"/>
    <w:rsid w:val="009129D2"/>
    <w:rsid w:val="00923399"/>
    <w:rsid w:val="00941627"/>
    <w:rsid w:val="00942AC1"/>
    <w:rsid w:val="00962A6A"/>
    <w:rsid w:val="0098645A"/>
    <w:rsid w:val="009A1AE4"/>
    <w:rsid w:val="009C493D"/>
    <w:rsid w:val="009C7678"/>
    <w:rsid w:val="00A1101B"/>
    <w:rsid w:val="00A152F3"/>
    <w:rsid w:val="00A17973"/>
    <w:rsid w:val="00A42DAB"/>
    <w:rsid w:val="00A64753"/>
    <w:rsid w:val="00A77152"/>
    <w:rsid w:val="00A80230"/>
    <w:rsid w:val="00A82ADD"/>
    <w:rsid w:val="00A87B0A"/>
    <w:rsid w:val="00A91D1F"/>
    <w:rsid w:val="00AC30BD"/>
    <w:rsid w:val="00AD299E"/>
    <w:rsid w:val="00AE22FB"/>
    <w:rsid w:val="00B55BB1"/>
    <w:rsid w:val="00B8079A"/>
    <w:rsid w:val="00B85D09"/>
    <w:rsid w:val="00BA78FF"/>
    <w:rsid w:val="00BC2DBE"/>
    <w:rsid w:val="00BC33A8"/>
    <w:rsid w:val="00BC4638"/>
    <w:rsid w:val="00BC47FE"/>
    <w:rsid w:val="00BC5287"/>
    <w:rsid w:val="00BD4746"/>
    <w:rsid w:val="00BF41B8"/>
    <w:rsid w:val="00BF7077"/>
    <w:rsid w:val="00C1318A"/>
    <w:rsid w:val="00C135A1"/>
    <w:rsid w:val="00C1475F"/>
    <w:rsid w:val="00C47A9F"/>
    <w:rsid w:val="00C54C04"/>
    <w:rsid w:val="00C63501"/>
    <w:rsid w:val="00C85D89"/>
    <w:rsid w:val="00CA0350"/>
    <w:rsid w:val="00CF0CF7"/>
    <w:rsid w:val="00CF65FB"/>
    <w:rsid w:val="00D1746E"/>
    <w:rsid w:val="00D36CB3"/>
    <w:rsid w:val="00D50F90"/>
    <w:rsid w:val="00D64DDE"/>
    <w:rsid w:val="00D86B53"/>
    <w:rsid w:val="00D955F5"/>
    <w:rsid w:val="00DB081F"/>
    <w:rsid w:val="00DB56DE"/>
    <w:rsid w:val="00DD2B9E"/>
    <w:rsid w:val="00DE396F"/>
    <w:rsid w:val="00E12BFB"/>
    <w:rsid w:val="00E17AC6"/>
    <w:rsid w:val="00E21D09"/>
    <w:rsid w:val="00E4021F"/>
    <w:rsid w:val="00E446B7"/>
    <w:rsid w:val="00E53825"/>
    <w:rsid w:val="00E559BD"/>
    <w:rsid w:val="00E60185"/>
    <w:rsid w:val="00E67E9B"/>
    <w:rsid w:val="00E7334A"/>
    <w:rsid w:val="00E8501D"/>
    <w:rsid w:val="00EA44D8"/>
    <w:rsid w:val="00EC265C"/>
    <w:rsid w:val="00EC3693"/>
    <w:rsid w:val="00EE1970"/>
    <w:rsid w:val="00EF3D5A"/>
    <w:rsid w:val="00F00FEA"/>
    <w:rsid w:val="00F028D2"/>
    <w:rsid w:val="00F0660C"/>
    <w:rsid w:val="00F21463"/>
    <w:rsid w:val="00F51CF3"/>
    <w:rsid w:val="00F55473"/>
    <w:rsid w:val="00F567A0"/>
    <w:rsid w:val="00F75635"/>
    <w:rsid w:val="00F847D8"/>
    <w:rsid w:val="00FC1B25"/>
    <w:rsid w:val="00FE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C14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C14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DC041-42AC-4838-8707-42BEA8BD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 1</cp:lastModifiedBy>
  <cp:revision>4</cp:revision>
  <dcterms:created xsi:type="dcterms:W3CDTF">2024-10-07T22:08:00Z</dcterms:created>
  <dcterms:modified xsi:type="dcterms:W3CDTF">2024-10-07T22:12:00Z</dcterms:modified>
</cp:coreProperties>
</file>